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Default="007425AA" w:rsidP="00BC0202">
      <w:pPr>
        <w:jc w:val="thaiDistribute"/>
      </w:pPr>
    </w:p>
    <w:p w14:paraId="49AB9820" w14:textId="7D1C9F7F" w:rsidR="00A4575A" w:rsidRPr="00F94B55" w:rsidRDefault="00CA26C6" w:rsidP="00A4575A">
      <w:pPr>
        <w:spacing w:before="360" w:after="0"/>
        <w:jc w:val="center"/>
        <w:rPr>
          <w:rFonts w:ascii="TH SarabunPSK" w:hAnsi="TH SarabunPSK" w:cs="TH SarabunPSK"/>
          <w:b/>
          <w:bCs/>
          <w:sz w:val="32"/>
          <w:szCs w:val="32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F94B55">
        <w:rPr>
          <w:rFonts w:ascii="TH SarabunPSK" w:hAnsi="TH SarabunPSK" w:cs="TH SarabunPSK" w:hint="cs"/>
          <w:b/>
          <w:bCs/>
          <w:sz w:val="32"/>
          <w:szCs w:val="32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อย. นำทีมประเทศไทย ร่วมเจรจากฎระเบียบอาหารในภูมิภาคเอเชีย</w:t>
      </w:r>
      <w:r w:rsidRPr="00F94B55">
        <w:rPr>
          <w:rFonts w:ascii="TH SarabunPSK" w:hAnsi="TH SarabunPSK" w:cs="TH SarabunPSK"/>
          <w:b/>
          <w:bCs/>
          <w:sz w:val="32"/>
          <w:szCs w:val="32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-</w:t>
      </w:r>
      <w:r w:rsidRPr="00F94B55">
        <w:rPr>
          <w:rFonts w:ascii="TH SarabunPSK" w:hAnsi="TH SarabunPSK" w:cs="TH SarabunPSK" w:hint="cs"/>
          <w:b/>
          <w:bCs/>
          <w:sz w:val="32"/>
          <w:szCs w:val="32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แปซิฟิก </w:t>
      </w:r>
    </w:p>
    <w:p w14:paraId="07E518D5" w14:textId="30D1AA37" w:rsidR="00CA26C6" w:rsidRPr="00F94B55" w:rsidRDefault="00CA26C6" w:rsidP="00A457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F94B55">
        <w:rPr>
          <w:rFonts w:ascii="TH SarabunPSK" w:hAnsi="TH SarabunPSK" w:cs="TH SarabunPSK" w:hint="cs"/>
          <w:b/>
          <w:bCs/>
          <w:sz w:val="32"/>
          <w:szCs w:val="32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ภายใต้กรอบความร่วมมือ </w:t>
      </w:r>
      <w:r w:rsidRPr="00F94B55">
        <w:rPr>
          <w:rFonts w:ascii="TH SarabunPSK" w:eastAsia="HYHeadLine-Medium" w:hAnsi="TH SarabunPSK" w:cs="TH SarabunPSK"/>
          <w:b/>
          <w:bCs/>
          <w:sz w:val="32"/>
          <w:szCs w:val="32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APFRAS</w:t>
      </w:r>
    </w:p>
    <w:p w14:paraId="72260D93" w14:textId="5E288B21" w:rsidR="001D1CF8" w:rsidRDefault="001D1CF8" w:rsidP="00F94B55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94B5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อย. เข้าร่วมประชุม </w:t>
      </w:r>
      <w:r w:rsidRPr="00F94B55">
        <w:rPr>
          <w:rFonts w:ascii="TH SarabunPSK" w:hAnsi="TH SarabunPSK" w:cs="TH SarabunPSK"/>
          <w:spacing w:val="8"/>
          <w:sz w:val="32"/>
          <w:szCs w:val="32"/>
        </w:rPr>
        <w:t>APFRAS</w:t>
      </w:r>
      <w:r w:rsidRPr="00F94B5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F94B55">
        <w:rPr>
          <w:rFonts w:ascii="TH SarabunPSK" w:hAnsi="TH SarabunPSK" w:cs="TH SarabunPSK"/>
          <w:spacing w:val="8"/>
          <w:sz w:val="32"/>
          <w:szCs w:val="32"/>
        </w:rPr>
        <w:t xml:space="preserve">2025 </w:t>
      </w:r>
      <w:r w:rsidRPr="00F94B55">
        <w:rPr>
          <w:rFonts w:ascii="TH SarabunPSK" w:hAnsi="TH SarabunPSK" w:cs="TH SarabunPSK"/>
          <w:spacing w:val="8"/>
          <w:sz w:val="32"/>
          <w:szCs w:val="32"/>
          <w:cs/>
        </w:rPr>
        <w:t>ณ จังหวัดเชจู สาธารณรัฐเกาหลี</w:t>
      </w:r>
      <w:r w:rsidRPr="00F94B55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ร่วมหารือ</w:t>
      </w:r>
      <w:r w:rsidRPr="00F94B55">
        <w:rPr>
          <w:rFonts w:ascii="TH SarabunPSK" w:hAnsi="TH SarabunPSK" w:cs="TH SarabunPSK"/>
          <w:spacing w:val="8"/>
          <w:sz w:val="32"/>
          <w:szCs w:val="32"/>
          <w:cs/>
        </w:rPr>
        <w:t>แลกเปลี่ยน</w:t>
      </w:r>
      <w:r w:rsidRPr="00F94B55">
        <w:rPr>
          <w:rFonts w:ascii="TH SarabunPSK" w:hAnsi="TH SarabunPSK" w:cs="TH SarabunPSK"/>
          <w:spacing w:val="-8"/>
          <w:sz w:val="32"/>
          <w:szCs w:val="32"/>
          <w:cs/>
        </w:rPr>
        <w:t>องค์ความรู้และกำหนดทิศทางความร่วมมือเชิงยุทธศาสตร์ด้าน</w:t>
      </w:r>
      <w:r w:rsidR="00F94B5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กฎระเบียบ</w:t>
      </w:r>
      <w:r w:rsidRPr="00F94B55">
        <w:rPr>
          <w:rFonts w:ascii="TH SarabunPSK" w:hAnsi="TH SarabunPSK" w:cs="TH SarabunPSK"/>
          <w:spacing w:val="-8"/>
          <w:sz w:val="32"/>
          <w:szCs w:val="32"/>
          <w:cs/>
        </w:rPr>
        <w:t>ความปลอดภัยอาหารในระดับภูมิภาค</w:t>
      </w:r>
      <w:r w:rsidRPr="00F94B55">
        <w:rPr>
          <w:rFonts w:ascii="TH SarabunPSK" w:hAnsi="TH SarabunPSK" w:cs="TH SarabunPSK" w:hint="cs"/>
          <w:spacing w:val="-8"/>
          <w:sz w:val="32"/>
          <w:szCs w:val="32"/>
          <w:cs/>
        </w:rPr>
        <w:t>เอเชีย</w:t>
      </w:r>
      <w:r w:rsidRPr="00F94B55">
        <w:rPr>
          <w:rFonts w:ascii="TH SarabunPSK" w:hAnsi="TH SarabunPSK" w:cs="TH SarabunPSK"/>
          <w:spacing w:val="-8"/>
          <w:sz w:val="32"/>
          <w:szCs w:val="32"/>
        </w:rPr>
        <w:t>-</w:t>
      </w:r>
      <w:r w:rsidRPr="00F94B55">
        <w:rPr>
          <w:rFonts w:ascii="TH SarabunPSK" w:hAnsi="TH SarabunPSK" w:cs="TH SarabunPSK" w:hint="cs"/>
          <w:spacing w:val="-8"/>
          <w:sz w:val="32"/>
          <w:szCs w:val="32"/>
          <w:cs/>
        </w:rPr>
        <w:t>แปซิฟิก</w:t>
      </w:r>
      <w:r w:rsidR="00F94B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4B55" w:rsidRPr="00F94B55">
        <w:rPr>
          <w:rFonts w:ascii="TH SarabunPSK" w:hAnsi="TH SarabunPSK" w:cs="TH SarabunPSK"/>
          <w:sz w:val="32"/>
          <w:szCs w:val="32"/>
          <w:cs/>
        </w:rPr>
        <w:t>เสริม</w:t>
      </w:r>
      <w:r w:rsidR="00F94B55">
        <w:rPr>
          <w:rFonts w:ascii="TH SarabunPSK" w:hAnsi="TH SarabunPSK" w:cs="TH SarabunPSK" w:hint="cs"/>
          <w:sz w:val="32"/>
          <w:szCs w:val="32"/>
          <w:cs/>
          <w:lang w:bidi="th-TH"/>
        </w:rPr>
        <w:t>แกร่ง</w:t>
      </w:r>
      <w:r w:rsidR="00F94B55" w:rsidRPr="00F94B55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F94B55" w:rsidRPr="00CA26C6">
        <w:rPr>
          <w:rFonts w:ascii="TH SarabunPSK" w:hAnsi="TH SarabunPSK" w:cs="TH SarabunPSK"/>
          <w:sz w:val="32"/>
          <w:szCs w:val="32"/>
          <w:cs/>
        </w:rPr>
        <w:t>และเครือข่าย</w:t>
      </w:r>
      <w:r w:rsidR="00F94B55" w:rsidRPr="00F94B55">
        <w:rPr>
          <w:rFonts w:ascii="TH SarabunPSK" w:hAnsi="TH SarabunPSK" w:cs="TH SarabunPSK"/>
          <w:sz w:val="32"/>
          <w:szCs w:val="32"/>
          <w:cs/>
        </w:rPr>
        <w:t>ระหว่างประเทศ</w:t>
      </w:r>
    </w:p>
    <w:p w14:paraId="74678AD1" w14:textId="79DEEC93" w:rsidR="00CA26C6" w:rsidRPr="00F94B55" w:rsidRDefault="00CA26C6" w:rsidP="00F94B55">
      <w:pPr>
        <w:spacing w:before="120" w:after="0" w:line="380" w:lineRule="exact"/>
        <w:ind w:firstLine="720"/>
        <w:jc w:val="thaiDistribute"/>
        <w:rPr>
          <w:rFonts w:cs="TH SarabunPSK"/>
          <w:spacing w:val="4"/>
          <w:szCs w:val="32"/>
        </w:rPr>
      </w:pPr>
      <w:r w:rsidRPr="00CA26C6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="00A457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821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เปิดเผยว่า </w:t>
      </w:r>
      <w:r w:rsidR="006821C0" w:rsidRPr="00A457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6821C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A4575A">
        <w:rPr>
          <w:rFonts w:ascii="TH SarabunPSK" w:hAnsi="TH SarabunPSK" w:cs="TH SarabunPSK" w:hint="cs"/>
          <w:sz w:val="32"/>
          <w:szCs w:val="32"/>
          <w:cs/>
          <w:lang w:bidi="th-TH"/>
        </w:rPr>
        <w:t>ผู้แทนจาก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สำนักงานมาตรฐานสินค้าเกษตรและอาหารแห่งชาติ </w:t>
      </w:r>
      <w:r w:rsidR="006821C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เข้าร่วมการประชุม </w:t>
      </w:r>
      <w:r w:rsidRPr="00CA26C6">
        <w:rPr>
          <w:rFonts w:ascii="TH SarabunPSK" w:hAnsi="TH SarabunPSK" w:cs="TH SarabunPSK"/>
          <w:sz w:val="32"/>
          <w:szCs w:val="32"/>
        </w:rPr>
        <w:t>ASIA-PACIFIC FOOD REGULATORY AUTHORITY SUMMIT 2025 (APFRAS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</w:rPr>
        <w:t>2025)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 w:rsidRPr="00CA26C6">
        <w:rPr>
          <w:rFonts w:ascii="TH SarabunPSK" w:hAnsi="TH SarabunPSK" w:cs="TH SarabunPSK"/>
          <w:sz w:val="32"/>
          <w:szCs w:val="32"/>
        </w:rPr>
        <w:t xml:space="preserve"> 15</w:t>
      </w:r>
      <w:r w:rsidR="001D1CF8">
        <w:rPr>
          <w:rFonts w:ascii="TH SarabunPSK" w:hAnsi="TH SarabunPSK" w:cs="TH SarabunPSK"/>
          <w:sz w:val="32"/>
          <w:szCs w:val="32"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</w:rPr>
        <w:t>-</w:t>
      </w:r>
      <w:r w:rsidR="001D1CF8">
        <w:rPr>
          <w:rFonts w:ascii="TH SarabunPSK" w:hAnsi="TH SarabunPSK" w:cs="TH SarabunPSK"/>
          <w:sz w:val="32"/>
          <w:szCs w:val="32"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</w:rPr>
        <w:t>16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CA26C6">
        <w:rPr>
          <w:rFonts w:ascii="TH SarabunPSK" w:hAnsi="TH SarabunPSK" w:cs="TH SarabunPSK"/>
          <w:sz w:val="32"/>
          <w:szCs w:val="32"/>
        </w:rPr>
        <w:t>2568</w:t>
      </w:r>
      <w:r w:rsidR="001D1CF8">
        <w:rPr>
          <w:rFonts w:ascii="TH SarabunPSK" w:hAnsi="TH SarabunPSK" w:cs="TH SarabunPSK"/>
          <w:sz w:val="32"/>
          <w:szCs w:val="32"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ณ จังหวัดเชจู สาธารณรัฐเกาหลี ในฐานะที่เข้าร่วมเป็นหนึ่งในประเทศสมาชิก </w:t>
      </w:r>
      <w:r w:rsidRPr="00CA26C6">
        <w:rPr>
          <w:rFonts w:ascii="TH SarabunPSK" w:hAnsi="TH SarabunPSK" w:cs="TH SarabunPSK"/>
          <w:sz w:val="32"/>
          <w:szCs w:val="32"/>
        </w:rPr>
        <w:t xml:space="preserve">APFRAS </w:t>
      </w:r>
      <w:r w:rsidRPr="00CA26C6">
        <w:rPr>
          <w:rFonts w:ascii="TH SarabunPSK" w:hAnsi="TH SarabunPSK" w:cs="TH SarabunPSK"/>
          <w:sz w:val="32"/>
          <w:szCs w:val="32"/>
          <w:cs/>
        </w:rPr>
        <w:t>โดยมีผู้แทนจากหน่วยงานกำกับดูแลด้านอาหารในภูมิภาคเอเชียแปซิฟิกเข้าร่วมอย่างพร้อมเพรียง เช่น ออสเตรเลีย นิวซีแลนด์ สาธารณรัฐ</w:t>
      </w:r>
      <w:r w:rsidRPr="00F94B55">
        <w:rPr>
          <w:rFonts w:ascii="TH SarabunPSK" w:hAnsi="TH SarabunPSK" w:cs="TH SarabunPSK"/>
          <w:spacing w:val="6"/>
          <w:sz w:val="32"/>
          <w:szCs w:val="32"/>
          <w:cs/>
        </w:rPr>
        <w:t xml:space="preserve">ประชาชนจีน สาธารณรัฐเกาหลี เป็นต้น รวมทั้งองค์กรระหว่างประเทศ เช่น </w:t>
      </w:r>
      <w:r w:rsidRPr="00F94B55">
        <w:rPr>
          <w:rFonts w:ascii="TH SarabunPSK" w:hAnsi="TH SarabunPSK" w:cs="TH SarabunPSK"/>
          <w:spacing w:val="6"/>
          <w:sz w:val="32"/>
          <w:szCs w:val="32"/>
        </w:rPr>
        <w:t xml:space="preserve">Codex FAO </w:t>
      </w:r>
      <w:r w:rsidRPr="00F94B55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 </w:t>
      </w:r>
      <w:r w:rsidRPr="00F94B55">
        <w:rPr>
          <w:rFonts w:ascii="TH SarabunPSK" w:hAnsi="TH SarabunPSK" w:cs="TH SarabunPSK"/>
          <w:spacing w:val="6"/>
          <w:sz w:val="32"/>
          <w:szCs w:val="32"/>
        </w:rPr>
        <w:t>WHO</w:t>
      </w:r>
      <w:r w:rsidRPr="00CA26C6">
        <w:rPr>
          <w:rFonts w:ascii="TH SarabunPSK" w:hAnsi="TH SarabunPSK" w:cs="TH SarabunPSK"/>
          <w:sz w:val="32"/>
          <w:szCs w:val="32"/>
        </w:rPr>
        <w:t xml:space="preserve"> </w:t>
      </w:r>
      <w:r w:rsidR="001D1CF8" w:rsidRPr="00F94B5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โดยมีวัตถุประสงค์</w:t>
      </w:r>
      <w:r w:rsidRPr="00F94B55">
        <w:rPr>
          <w:rFonts w:ascii="TH SarabunPSK" w:hAnsi="TH SarabunPSK" w:cs="TH SarabunPSK"/>
          <w:spacing w:val="-10"/>
          <w:sz w:val="32"/>
          <w:szCs w:val="32"/>
          <w:cs/>
        </w:rPr>
        <w:t>เพื่อหารือแลกเปลี่ยนองค์ความรู้และกำหนดทิศทางความร่วมมือเชิงยุทธศาสตร์ด้านความปลอดภัย</w:t>
      </w:r>
      <w:r w:rsidRPr="001D1CF8">
        <w:rPr>
          <w:rFonts w:ascii="TH SarabunPSK" w:hAnsi="TH SarabunPSK" w:cs="TH SarabunPSK"/>
          <w:spacing w:val="6"/>
          <w:sz w:val="32"/>
          <w:szCs w:val="32"/>
          <w:cs/>
        </w:rPr>
        <w:t>อาหารในระดับภูมิภาค</w:t>
      </w:r>
      <w:r w:rsidRPr="001D1CF8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1D1CF8">
        <w:rPr>
          <w:rFonts w:ascii="TH SarabunPSK" w:hAnsi="TH SarabunPSK" w:cs="TH SarabunPSK"/>
          <w:spacing w:val="6"/>
          <w:sz w:val="32"/>
          <w:szCs w:val="32"/>
          <w:cs/>
        </w:rPr>
        <w:t>โดยในการประชุมครั้งนี้ สำนักงานคณะกรรมการอาหารและยา</w:t>
      </w:r>
      <w:r w:rsidR="001D1CF8" w:rsidRPr="001D1CF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(อย.)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 ในฐานะหัวหน้าคณะผู้แทนไทย ได้ร่วมหารือในประเด็นสำคัญ</w:t>
      </w:r>
      <w:r w:rsidR="00F94B55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Pr="00F94B55">
        <w:rPr>
          <w:rFonts w:cs="TH SarabunPSK"/>
          <w:spacing w:val="4"/>
          <w:szCs w:val="32"/>
          <w:cs/>
        </w:rPr>
        <w:t>การพัฒนาระบบฐานข้อมูลด้านกฎระเบียบ</w:t>
      </w:r>
      <w:r w:rsidRPr="00F94B55">
        <w:rPr>
          <w:rFonts w:cs="TH SarabunPSK"/>
          <w:spacing w:val="10"/>
          <w:szCs w:val="32"/>
          <w:cs/>
        </w:rPr>
        <w:t>ผลิตภัณฑ์อาหารของประเทศสมาชิก</w:t>
      </w:r>
      <w:r w:rsidRPr="00F94B55">
        <w:rPr>
          <w:rFonts w:cs="TH SarabunPSK"/>
          <w:spacing w:val="10"/>
          <w:szCs w:val="32"/>
        </w:rPr>
        <w:t xml:space="preserve"> </w:t>
      </w:r>
      <w:r w:rsidRPr="00F94B55">
        <w:rPr>
          <w:rFonts w:cs="TH SarabunPSK"/>
          <w:spacing w:val="10"/>
          <w:szCs w:val="32"/>
          <w:cs/>
        </w:rPr>
        <w:t>เพื่ออำนวยความสะดวกแก่ผู้ประกอบการทั้งใน</w:t>
      </w:r>
      <w:r w:rsidRPr="00F94B55">
        <w:rPr>
          <w:rFonts w:cs="TH SarabunPSK"/>
          <w:spacing w:val="10"/>
          <w:szCs w:val="32"/>
        </w:rPr>
        <w:t>-</w:t>
      </w:r>
      <w:r w:rsidRPr="00F94B55">
        <w:rPr>
          <w:rFonts w:cs="TH SarabunPSK"/>
          <w:spacing w:val="10"/>
          <w:szCs w:val="32"/>
          <w:cs/>
        </w:rPr>
        <w:t>ต่างประเทศ</w:t>
      </w:r>
      <w:r w:rsidR="00F94B55">
        <w:rPr>
          <w:rFonts w:cs="TH SarabunPSK"/>
          <w:spacing w:val="4"/>
          <w:szCs w:val="32"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  <w:cs/>
        </w:rPr>
        <w:t>การแลกเปลี่ยนข้อมูลวิชาการและเทคโนโลยีใหม่ระหว่างประเทศสมาชิก เพื่อร่วมกำหนดแนวทางการบริหารจัดการความเสี่ยงใหม่</w:t>
      </w:r>
      <w:r w:rsidR="001D1C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A26C6">
        <w:rPr>
          <w:rFonts w:ascii="TH SarabunPSK" w:hAnsi="TH SarabunPSK" w:cs="TH SarabunPSK"/>
          <w:sz w:val="32"/>
          <w:szCs w:val="32"/>
          <w:cs/>
        </w:rPr>
        <w:t>ๆ ที่เกิดขึ้นในระบบห่วงโซ่อาหาร</w:t>
      </w:r>
      <w:r w:rsidR="00F94B55">
        <w:rPr>
          <w:rFonts w:cs="TH SarabunPSK"/>
          <w:spacing w:val="4"/>
          <w:szCs w:val="32"/>
        </w:rPr>
        <w:t xml:space="preserve"> </w:t>
      </w:r>
      <w:r w:rsidR="00F94B55">
        <w:rPr>
          <w:rFonts w:cs="TH SarabunPSK" w:hint="cs"/>
          <w:spacing w:val="4"/>
          <w:szCs w:val="32"/>
          <w:cs/>
          <w:lang w:bidi="th-TH"/>
        </w:rPr>
        <w:t>และการ</w:t>
      </w:r>
      <w:r w:rsidRPr="00CA26C6">
        <w:rPr>
          <w:rFonts w:ascii="TH SarabunPSK" w:hAnsi="TH SarabunPSK" w:cs="TH SarabunPSK"/>
          <w:sz w:val="32"/>
          <w:szCs w:val="32"/>
          <w:cs/>
        </w:rPr>
        <w:t xml:space="preserve">หารือแบบทวิภาคีระหว่างหน่วยงาน </w:t>
      </w:r>
      <w:r w:rsidRPr="00EB2874">
        <w:rPr>
          <w:rFonts w:ascii="TH SarabunPSK" w:hAnsi="TH SarabunPSK" w:cs="TH SarabunPSK"/>
          <w:spacing w:val="10"/>
          <w:sz w:val="32"/>
          <w:szCs w:val="32"/>
        </w:rPr>
        <w:t xml:space="preserve">Ministry of Food and Drug Safety </w:t>
      </w:r>
      <w:r w:rsidRPr="00EB2874">
        <w:rPr>
          <w:rFonts w:ascii="TH SarabunPSK" w:hAnsi="TH SarabunPSK" w:cs="TH SarabunPSK"/>
          <w:spacing w:val="10"/>
          <w:sz w:val="32"/>
          <w:szCs w:val="32"/>
          <w:cs/>
        </w:rPr>
        <w:t>และ</w:t>
      </w:r>
      <w:r w:rsidR="00BB4085" w:rsidRPr="00EB2874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</w:t>
      </w:r>
      <w:r w:rsidR="00F94B55" w:rsidRPr="00EB2874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อย.</w:t>
      </w:r>
      <w:r w:rsidRPr="00EB2874">
        <w:rPr>
          <w:rFonts w:ascii="TH SarabunPSK" w:hAnsi="TH SarabunPSK" w:cs="TH SarabunPSK"/>
          <w:spacing w:val="10"/>
          <w:sz w:val="32"/>
          <w:szCs w:val="32"/>
          <w:cs/>
        </w:rPr>
        <w:t xml:space="preserve"> เพื่อหารือ</w:t>
      </w:r>
      <w:r w:rsidRPr="00CA26C6">
        <w:rPr>
          <w:rFonts w:ascii="TH SarabunPSK" w:hAnsi="TH SarabunPSK" w:cs="TH SarabunPSK"/>
          <w:sz w:val="32"/>
          <w:szCs w:val="32"/>
          <w:cs/>
        </w:rPr>
        <w:t>การเพิ่มประสิทธิภาพในการตรวจประเมินสถานที่ผลิตอาหารส่งออกของไทย รวมถึงการแลกเปลี่ยนข้อมูลกฎระเบียบด้านผลิตภัณฑ์สุขภาพอื่น ๆ</w:t>
      </w:r>
    </w:p>
    <w:p w14:paraId="06A1414C" w14:textId="1F4DEFDE" w:rsidR="00A4575A" w:rsidRPr="00A4575A" w:rsidRDefault="00CA26C6" w:rsidP="00F94B55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2874">
        <w:rPr>
          <w:rFonts w:ascii="TH SarabunPSK" w:hAnsi="TH SarabunPSK" w:cs="TH SarabunPSK"/>
          <w:spacing w:val="8"/>
          <w:sz w:val="32"/>
          <w:szCs w:val="32"/>
          <w:cs/>
        </w:rPr>
        <w:t>การเข้าร่วมประชุม</w:t>
      </w:r>
      <w:r w:rsidR="001D1CF8" w:rsidRPr="00EB2874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</w:t>
      </w:r>
      <w:r w:rsidR="001D1CF8" w:rsidRPr="00EB2874">
        <w:rPr>
          <w:rFonts w:ascii="TH SarabunPSK" w:hAnsi="TH SarabunPSK" w:cs="TH SarabunPSK"/>
          <w:spacing w:val="8"/>
          <w:sz w:val="32"/>
          <w:szCs w:val="32"/>
        </w:rPr>
        <w:t xml:space="preserve">APFRAS </w:t>
      </w:r>
      <w:r w:rsidR="001D1CF8" w:rsidRPr="00EB2874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2025 </w:t>
      </w:r>
      <w:r w:rsidRPr="00EB2874">
        <w:rPr>
          <w:rFonts w:ascii="TH SarabunPSK" w:hAnsi="TH SarabunPSK" w:cs="TH SarabunPSK"/>
          <w:spacing w:val="8"/>
          <w:sz w:val="32"/>
          <w:szCs w:val="32"/>
          <w:cs/>
        </w:rPr>
        <w:t>ครั้งนี้ ถือเป็นโอกาสสำคัญในการเสริมสร้างความร่วมมือ</w:t>
      </w:r>
      <w:r w:rsidRPr="00CA26C6">
        <w:rPr>
          <w:rFonts w:ascii="TH SarabunPSK" w:hAnsi="TH SarabunPSK" w:cs="TH SarabunPSK"/>
          <w:sz w:val="32"/>
          <w:szCs w:val="32"/>
          <w:cs/>
        </w:rPr>
        <w:t>และเครือข่ายระหว่างประเทศด้านความปลอดภัยอาหาร ตลอดจนส่งเสริมบทบาทของประเทศไทยในเวที</w:t>
      </w:r>
      <w:r w:rsidRPr="00EB2874">
        <w:rPr>
          <w:rFonts w:ascii="TH SarabunPSK" w:hAnsi="TH SarabunPSK" w:cs="TH SarabunPSK"/>
          <w:spacing w:val="-12"/>
          <w:sz w:val="32"/>
          <w:szCs w:val="32"/>
          <w:cs/>
        </w:rPr>
        <w:t>ระหว่างประเทศให้มีความเข้มแข็งและมีศักยภาพในการเผชิญกับความท้าทายด้านอาหารในอนาคต ซึ่งจะเป็นประโยชน์</w:t>
      </w:r>
      <w:r w:rsidRPr="00CA26C6">
        <w:rPr>
          <w:rFonts w:ascii="TH SarabunPSK" w:hAnsi="TH SarabunPSK" w:cs="TH SarabunPSK"/>
          <w:sz w:val="32"/>
          <w:szCs w:val="32"/>
          <w:cs/>
        </w:rPr>
        <w:t>ในการนำมาพัฒนาระบบกำกับดูแลอาหารของประเทศให้มีประสิทธิภาพยิ่งขึ้น เพื่อคุ้มครองสุขภาพ</w:t>
      </w:r>
      <w:r w:rsidRPr="00F94B55">
        <w:rPr>
          <w:rFonts w:ascii="TH SarabunPSK" w:hAnsi="TH SarabunPSK" w:cs="TH SarabunPSK"/>
          <w:spacing w:val="4"/>
          <w:sz w:val="32"/>
          <w:szCs w:val="32"/>
          <w:cs/>
        </w:rPr>
        <w:t>ประชาชนและสร้างความเชื่อมั่นให้กับผู้บริโภคทั้งในและต่างประเทศ รวมถึงสนับสนุนผู้ประกอบการไทย</w:t>
      </w:r>
      <w:r w:rsidRPr="00CA26C6">
        <w:rPr>
          <w:rFonts w:ascii="TH SarabunPSK" w:hAnsi="TH SarabunPSK" w:cs="TH SarabunPSK"/>
          <w:sz w:val="32"/>
          <w:szCs w:val="32"/>
          <w:cs/>
        </w:rPr>
        <w:t>ในการขยายโอกาสทางการค้าและเข้าถึงตลาดสินค้าอาหารในภูมิภาคเอเชีย-แปซิฟิกต่อไ</w:t>
      </w:r>
      <w:r w:rsidR="001D1CF8"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</w:p>
    <w:p w14:paraId="1F635A31" w14:textId="006FE691" w:rsidR="00712A0C" w:rsidRDefault="00C95526" w:rsidP="00F94B55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19DC3DFB" w14:textId="51C5A42F" w:rsidR="006335FA" w:rsidRPr="003E7911" w:rsidRDefault="00C95526" w:rsidP="003E7911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 w:hint="cs"/>
          <w:b/>
          <w:bCs/>
          <w:i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วันที่เผยแพร่ข่าว </w:t>
      </w:r>
      <w:r w:rsidR="003E7911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17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CA26C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พฤษภา</w:t>
      </w:r>
      <w:r w:rsidR="007A2437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CA26C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8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</w:t>
      </w:r>
      <w:r w:rsidRPr="006F5EB6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/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</w:t>
      </w:r>
      <w:r w:rsidR="003E7911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ข่าวแจก</w:t>
      </w:r>
      <w:r w:rsidR="0095357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3E7911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155</w:t>
      </w:r>
      <w:r w:rsidR="00953570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CA26C6" w:rsidRPr="00CA26C6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8</w:t>
      </w:r>
    </w:p>
    <w:sectPr w:rsidR="006335FA" w:rsidRPr="003E7911" w:rsidSect="007B1067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84D6" w14:textId="77777777" w:rsidR="003A2C9B" w:rsidRDefault="003A2C9B" w:rsidP="00405FD9">
      <w:pPr>
        <w:spacing w:after="0" w:line="240" w:lineRule="auto"/>
      </w:pPr>
      <w:r>
        <w:separator/>
      </w:r>
    </w:p>
  </w:endnote>
  <w:endnote w:type="continuationSeparator" w:id="0">
    <w:p w14:paraId="43FC8E4E" w14:textId="77777777" w:rsidR="003A2C9B" w:rsidRDefault="003A2C9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B415" w14:textId="77777777" w:rsidR="003A2C9B" w:rsidRDefault="003A2C9B" w:rsidP="00405FD9">
      <w:pPr>
        <w:spacing w:after="0" w:line="240" w:lineRule="auto"/>
      </w:pPr>
      <w:r>
        <w:separator/>
      </w:r>
    </w:p>
  </w:footnote>
  <w:footnote w:type="continuationSeparator" w:id="0">
    <w:p w14:paraId="562761EC" w14:textId="77777777" w:rsidR="003A2C9B" w:rsidRDefault="003A2C9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CCBB" w14:textId="77777777" w:rsidR="00405FD9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93E" w14:textId="77777777" w:rsidR="00405FD9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0023"/>
    <w:multiLevelType w:val="multilevel"/>
    <w:tmpl w:val="D80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B7378"/>
    <w:multiLevelType w:val="hybridMultilevel"/>
    <w:tmpl w:val="CB109C56"/>
    <w:lvl w:ilvl="0" w:tplc="5E42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326968">
    <w:abstractNumId w:val="0"/>
  </w:num>
  <w:num w:numId="2" w16cid:durableId="136886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10393"/>
    <w:rsid w:val="000274C4"/>
    <w:rsid w:val="0003712E"/>
    <w:rsid w:val="00052BF1"/>
    <w:rsid w:val="000548DA"/>
    <w:rsid w:val="00081310"/>
    <w:rsid w:val="000B22AD"/>
    <w:rsid w:val="000E019C"/>
    <w:rsid w:val="000F0C4E"/>
    <w:rsid w:val="00101ABF"/>
    <w:rsid w:val="0013579B"/>
    <w:rsid w:val="00185B5C"/>
    <w:rsid w:val="00187FA1"/>
    <w:rsid w:val="00190F28"/>
    <w:rsid w:val="001D1CF8"/>
    <w:rsid w:val="001D4998"/>
    <w:rsid w:val="001F1A32"/>
    <w:rsid w:val="0020504C"/>
    <w:rsid w:val="00217E18"/>
    <w:rsid w:val="00220A40"/>
    <w:rsid w:val="00231534"/>
    <w:rsid w:val="0024361C"/>
    <w:rsid w:val="00254A59"/>
    <w:rsid w:val="00283B59"/>
    <w:rsid w:val="00283FE7"/>
    <w:rsid w:val="0029284D"/>
    <w:rsid w:val="0029735A"/>
    <w:rsid w:val="002A2164"/>
    <w:rsid w:val="002A6B0F"/>
    <w:rsid w:val="002B1782"/>
    <w:rsid w:val="002C4383"/>
    <w:rsid w:val="002C4D21"/>
    <w:rsid w:val="002D09D1"/>
    <w:rsid w:val="002D63E4"/>
    <w:rsid w:val="002E0889"/>
    <w:rsid w:val="002E4ACE"/>
    <w:rsid w:val="003011F1"/>
    <w:rsid w:val="00322422"/>
    <w:rsid w:val="0032651E"/>
    <w:rsid w:val="003502EC"/>
    <w:rsid w:val="00363A24"/>
    <w:rsid w:val="00385425"/>
    <w:rsid w:val="003A2C9B"/>
    <w:rsid w:val="003B5E2B"/>
    <w:rsid w:val="003C0D62"/>
    <w:rsid w:val="003E7911"/>
    <w:rsid w:val="003F0331"/>
    <w:rsid w:val="00403C0D"/>
    <w:rsid w:val="00405FD9"/>
    <w:rsid w:val="004402C9"/>
    <w:rsid w:val="00481D3D"/>
    <w:rsid w:val="00485245"/>
    <w:rsid w:val="00487239"/>
    <w:rsid w:val="00495E54"/>
    <w:rsid w:val="004A3796"/>
    <w:rsid w:val="004B6AAD"/>
    <w:rsid w:val="004C15F0"/>
    <w:rsid w:val="004F0DED"/>
    <w:rsid w:val="00511A6E"/>
    <w:rsid w:val="0051210F"/>
    <w:rsid w:val="00535C30"/>
    <w:rsid w:val="005C20E4"/>
    <w:rsid w:val="005C587D"/>
    <w:rsid w:val="005C6803"/>
    <w:rsid w:val="005D0311"/>
    <w:rsid w:val="005D5AD0"/>
    <w:rsid w:val="005D758B"/>
    <w:rsid w:val="005E027A"/>
    <w:rsid w:val="005E7F53"/>
    <w:rsid w:val="00603C80"/>
    <w:rsid w:val="00626106"/>
    <w:rsid w:val="006335FA"/>
    <w:rsid w:val="00644A64"/>
    <w:rsid w:val="00672A87"/>
    <w:rsid w:val="006821C0"/>
    <w:rsid w:val="00693B7F"/>
    <w:rsid w:val="006C7E7B"/>
    <w:rsid w:val="006E03FF"/>
    <w:rsid w:val="006E4627"/>
    <w:rsid w:val="006F5EB6"/>
    <w:rsid w:val="007021A8"/>
    <w:rsid w:val="00712A0C"/>
    <w:rsid w:val="007366F1"/>
    <w:rsid w:val="007425AA"/>
    <w:rsid w:val="00756CC3"/>
    <w:rsid w:val="007A2437"/>
    <w:rsid w:val="007B1067"/>
    <w:rsid w:val="007C1A22"/>
    <w:rsid w:val="007C283F"/>
    <w:rsid w:val="007E54FA"/>
    <w:rsid w:val="007E63F0"/>
    <w:rsid w:val="00800023"/>
    <w:rsid w:val="008007E3"/>
    <w:rsid w:val="008318AA"/>
    <w:rsid w:val="00833819"/>
    <w:rsid w:val="00841776"/>
    <w:rsid w:val="008674A6"/>
    <w:rsid w:val="00874062"/>
    <w:rsid w:val="0087479C"/>
    <w:rsid w:val="008879AE"/>
    <w:rsid w:val="0089229B"/>
    <w:rsid w:val="0089364F"/>
    <w:rsid w:val="008B6528"/>
    <w:rsid w:val="00953570"/>
    <w:rsid w:val="00996637"/>
    <w:rsid w:val="009D2BD4"/>
    <w:rsid w:val="009F22B0"/>
    <w:rsid w:val="00A10DB3"/>
    <w:rsid w:val="00A11290"/>
    <w:rsid w:val="00A4575A"/>
    <w:rsid w:val="00A71F81"/>
    <w:rsid w:val="00A77E0A"/>
    <w:rsid w:val="00A84411"/>
    <w:rsid w:val="00AC7073"/>
    <w:rsid w:val="00AE1653"/>
    <w:rsid w:val="00AF2124"/>
    <w:rsid w:val="00B53389"/>
    <w:rsid w:val="00B62684"/>
    <w:rsid w:val="00BB4085"/>
    <w:rsid w:val="00BC0202"/>
    <w:rsid w:val="00C45EF9"/>
    <w:rsid w:val="00C45FD9"/>
    <w:rsid w:val="00C460A8"/>
    <w:rsid w:val="00C50A10"/>
    <w:rsid w:val="00C76851"/>
    <w:rsid w:val="00C8183B"/>
    <w:rsid w:val="00C83AE1"/>
    <w:rsid w:val="00C95526"/>
    <w:rsid w:val="00C97469"/>
    <w:rsid w:val="00CA26C6"/>
    <w:rsid w:val="00CE18BE"/>
    <w:rsid w:val="00D1102E"/>
    <w:rsid w:val="00D242DA"/>
    <w:rsid w:val="00D90CDB"/>
    <w:rsid w:val="00E35EF5"/>
    <w:rsid w:val="00E367E6"/>
    <w:rsid w:val="00E95196"/>
    <w:rsid w:val="00EA3837"/>
    <w:rsid w:val="00EB2874"/>
    <w:rsid w:val="00F0015E"/>
    <w:rsid w:val="00F048F4"/>
    <w:rsid w:val="00F1572C"/>
    <w:rsid w:val="00F332D2"/>
    <w:rsid w:val="00F52E54"/>
    <w:rsid w:val="00F561D9"/>
    <w:rsid w:val="00F626CF"/>
    <w:rsid w:val="00F76858"/>
    <w:rsid w:val="00F90295"/>
    <w:rsid w:val="00F94B55"/>
    <w:rsid w:val="00F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F430282D-E2E5-4790-BE8D-182EAAF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63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35FA"/>
    <w:rPr>
      <w:rFonts w:ascii="Tahoma" w:hAnsi="Tahoma" w:cs="Tahoma"/>
      <w:sz w:val="16"/>
      <w:szCs w:val="16"/>
      <w:lang w:bidi="ar-SA"/>
    </w:rPr>
  </w:style>
  <w:style w:type="character" w:customStyle="1" w:styleId="fadeinm1hgl8">
    <w:name w:val="_fadein_m1hgl_8"/>
    <w:basedOn w:val="a0"/>
    <w:rsid w:val="00CA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9601-1DAB-45C8-9787-EB9AD3C0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Nutsuda J.</cp:lastModifiedBy>
  <cp:revision>6</cp:revision>
  <cp:lastPrinted>2024-01-16T07:43:00Z</cp:lastPrinted>
  <dcterms:created xsi:type="dcterms:W3CDTF">2025-05-16T09:09:00Z</dcterms:created>
  <dcterms:modified xsi:type="dcterms:W3CDTF">2025-05-17T03:50:00Z</dcterms:modified>
</cp:coreProperties>
</file>